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7"/>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3960"/>
        <w:gridCol w:w="4095"/>
      </w:tblGrid>
      <w:tr w:rsidR="00C80F31" w:rsidRPr="00C80F31" w:rsidTr="00206663">
        <w:trPr>
          <w:trHeight w:val="272"/>
        </w:trPr>
        <w:tc>
          <w:tcPr>
            <w:tcW w:w="6461" w:type="dxa"/>
            <w:gridSpan w:val="2"/>
            <w:vMerge w:val="restart"/>
          </w:tcPr>
          <w:p w:rsidR="00C80F31" w:rsidRPr="00C80F31" w:rsidRDefault="00C80F31" w:rsidP="00206663">
            <w:pPr>
              <w:rPr>
                <w:rFonts w:ascii="Arial Narrow" w:hAnsi="Arial Narrow" w:cs="Arial"/>
                <w:b/>
              </w:rPr>
            </w:pPr>
            <w:r w:rsidRPr="00C80F31">
              <w:rPr>
                <w:rFonts w:ascii="Arial Narrow" w:hAnsi="Arial Narrow" w:cs="Arial"/>
                <w:b/>
                <w:sz w:val="22"/>
                <w:szCs w:val="22"/>
              </w:rPr>
              <w:t>Course Title &amp; Number:</w:t>
            </w:r>
          </w:p>
          <w:p w:rsidR="003C38DE" w:rsidRPr="00375E5C" w:rsidRDefault="003C38DE" w:rsidP="003C38DE">
            <w:pPr>
              <w:jc w:val="center"/>
              <w:rPr>
                <w:b/>
                <w:sz w:val="28"/>
                <w:szCs w:val="28"/>
              </w:rPr>
            </w:pPr>
            <w:r w:rsidRPr="003C38DE">
              <w:rPr>
                <w:rFonts w:ascii="Arial" w:hAnsi="Arial" w:cs="Arial"/>
                <w:b/>
                <w:sz w:val="22"/>
                <w:szCs w:val="22"/>
              </w:rPr>
              <w:t>Advanced Mathematical Decision Making (AMDM</w:t>
            </w:r>
            <w:r w:rsidRPr="00375E5C">
              <w:rPr>
                <w:b/>
                <w:sz w:val="28"/>
                <w:szCs w:val="28"/>
              </w:rPr>
              <w:t>)</w:t>
            </w:r>
          </w:p>
          <w:p w:rsidR="00C80F31" w:rsidRPr="00C80F31" w:rsidRDefault="00C80F31" w:rsidP="00206663">
            <w:pPr>
              <w:rPr>
                <w:rFonts w:ascii="Arial Narrow" w:hAnsi="Arial Narrow" w:cs="Arial"/>
                <w:b/>
              </w:rPr>
            </w:pPr>
          </w:p>
        </w:tc>
        <w:tc>
          <w:tcPr>
            <w:tcW w:w="4095" w:type="dxa"/>
          </w:tcPr>
          <w:p w:rsidR="003C38DE" w:rsidRDefault="00C80F31" w:rsidP="00206663">
            <w:pPr>
              <w:rPr>
                <w:rFonts w:ascii="Arial Narrow" w:hAnsi="Arial Narrow" w:cs="Arial"/>
                <w:b/>
                <w:sz w:val="22"/>
                <w:szCs w:val="22"/>
              </w:rPr>
            </w:pPr>
            <w:r w:rsidRPr="00C80F31">
              <w:rPr>
                <w:rFonts w:ascii="Arial Narrow" w:hAnsi="Arial Narrow" w:cs="Arial"/>
                <w:b/>
                <w:sz w:val="22"/>
                <w:szCs w:val="22"/>
              </w:rPr>
              <w:t>Teacher Name:</w:t>
            </w:r>
          </w:p>
          <w:p w:rsidR="00C80F31" w:rsidRDefault="002E372F" w:rsidP="00206663">
            <w:pPr>
              <w:rPr>
                <w:rFonts w:ascii="Arial Narrow" w:hAnsi="Arial Narrow" w:cs="Arial"/>
                <w:b/>
                <w:sz w:val="22"/>
                <w:szCs w:val="22"/>
              </w:rPr>
            </w:pPr>
            <w:proofErr w:type="spellStart"/>
            <w:r>
              <w:rPr>
                <w:rFonts w:ascii="Arial Narrow" w:hAnsi="Arial Narrow" w:cs="Arial"/>
                <w:b/>
                <w:sz w:val="22"/>
                <w:szCs w:val="22"/>
              </w:rPr>
              <w:t>SuZanne</w:t>
            </w:r>
            <w:proofErr w:type="spellEnd"/>
            <w:r>
              <w:rPr>
                <w:rFonts w:ascii="Arial Narrow" w:hAnsi="Arial Narrow" w:cs="Arial"/>
                <w:b/>
                <w:sz w:val="22"/>
                <w:szCs w:val="22"/>
              </w:rPr>
              <w:t xml:space="preserve"> Peters</w:t>
            </w:r>
          </w:p>
          <w:p w:rsidR="003C38DE" w:rsidRPr="00C80F31" w:rsidRDefault="003C38DE" w:rsidP="00206663">
            <w:pPr>
              <w:rPr>
                <w:rFonts w:ascii="Arial Narrow" w:hAnsi="Arial Narrow" w:cs="Arial"/>
                <w:b/>
              </w:rPr>
            </w:pPr>
            <w:r>
              <w:rPr>
                <w:rFonts w:ascii="Arial Narrow" w:hAnsi="Arial Narrow" w:cs="Arial"/>
                <w:b/>
                <w:sz w:val="22"/>
                <w:szCs w:val="22"/>
              </w:rPr>
              <w:t xml:space="preserve">                  </w:t>
            </w:r>
          </w:p>
          <w:p w:rsidR="00C80F31" w:rsidRPr="00C80F31" w:rsidRDefault="00C80F31" w:rsidP="00206663">
            <w:pPr>
              <w:rPr>
                <w:rFonts w:ascii="Arial Narrow" w:hAnsi="Arial Narrow" w:cs="Arial"/>
                <w:b/>
              </w:rPr>
            </w:pPr>
          </w:p>
        </w:tc>
      </w:tr>
      <w:tr w:rsidR="00C80F31" w:rsidRPr="00C80F31" w:rsidTr="003C38DE">
        <w:trPr>
          <w:trHeight w:val="455"/>
        </w:trPr>
        <w:tc>
          <w:tcPr>
            <w:tcW w:w="6461" w:type="dxa"/>
            <w:gridSpan w:val="2"/>
            <w:vMerge/>
          </w:tcPr>
          <w:p w:rsidR="00C80F31" w:rsidRPr="00C80F31" w:rsidRDefault="00C80F31" w:rsidP="00206663">
            <w:pPr>
              <w:rPr>
                <w:rFonts w:ascii="Arial Narrow" w:hAnsi="Arial Narrow" w:cs="Arial"/>
                <w:b/>
              </w:rPr>
            </w:pPr>
          </w:p>
        </w:tc>
        <w:tc>
          <w:tcPr>
            <w:tcW w:w="4095" w:type="dxa"/>
          </w:tcPr>
          <w:p w:rsidR="00C80F31" w:rsidRPr="00904588" w:rsidRDefault="00C80F31" w:rsidP="00206663">
            <w:pPr>
              <w:rPr>
                <w:rFonts w:ascii="Arial Narrow" w:hAnsi="Arial Narrow" w:cs="Arial"/>
                <w:b/>
                <w:sz w:val="22"/>
                <w:szCs w:val="22"/>
              </w:rPr>
            </w:pPr>
            <w:r w:rsidRPr="00C80F31">
              <w:rPr>
                <w:rFonts w:ascii="Arial Narrow" w:hAnsi="Arial Narrow" w:cs="Arial"/>
                <w:b/>
                <w:sz w:val="22"/>
                <w:szCs w:val="22"/>
              </w:rPr>
              <w:t>Planning Time:</w:t>
            </w:r>
            <w:r w:rsidR="003C38DE">
              <w:rPr>
                <w:rFonts w:ascii="Arial Narrow" w:hAnsi="Arial Narrow" w:cs="Arial"/>
                <w:b/>
                <w:sz w:val="22"/>
                <w:szCs w:val="22"/>
              </w:rPr>
              <w:t xml:space="preserve"> </w:t>
            </w:r>
            <w:r w:rsidR="002E372F">
              <w:rPr>
                <w:rFonts w:ascii="Arial Narrow" w:hAnsi="Arial Narrow" w:cs="Arial"/>
                <w:b/>
                <w:sz w:val="22"/>
                <w:szCs w:val="22"/>
              </w:rPr>
              <w:t>4</w:t>
            </w:r>
            <w:proofErr w:type="gramStart"/>
            <w:r w:rsidR="002E372F" w:rsidRPr="002E372F">
              <w:rPr>
                <w:rFonts w:ascii="Arial Narrow" w:hAnsi="Arial Narrow" w:cs="Arial"/>
                <w:b/>
                <w:sz w:val="22"/>
                <w:szCs w:val="22"/>
                <w:vertAlign w:val="superscript"/>
              </w:rPr>
              <w:t>th</w:t>
            </w:r>
            <w:r w:rsidR="002E372F">
              <w:rPr>
                <w:rFonts w:ascii="Arial Narrow" w:hAnsi="Arial Narrow" w:cs="Arial"/>
                <w:b/>
                <w:sz w:val="22"/>
                <w:szCs w:val="22"/>
              </w:rPr>
              <w:t xml:space="preserve"> </w:t>
            </w:r>
            <w:r w:rsidR="003C38DE">
              <w:rPr>
                <w:rFonts w:ascii="Arial Narrow" w:hAnsi="Arial Narrow" w:cs="Arial"/>
                <w:b/>
                <w:sz w:val="22"/>
                <w:szCs w:val="22"/>
              </w:rPr>
              <w:t xml:space="preserve"> period</w:t>
            </w:r>
            <w:proofErr w:type="gramEnd"/>
            <w:r w:rsidRPr="00C80F31">
              <w:rPr>
                <w:rFonts w:ascii="Arial Narrow" w:hAnsi="Arial Narrow" w:cs="Arial"/>
                <w:b/>
                <w:sz w:val="22"/>
                <w:szCs w:val="22"/>
              </w:rPr>
              <w:t xml:space="preserve">  </w:t>
            </w:r>
          </w:p>
          <w:p w:rsidR="00C80F31" w:rsidRPr="00C80F31" w:rsidRDefault="00C80F31" w:rsidP="00206663">
            <w:pPr>
              <w:rPr>
                <w:rFonts w:ascii="Arial Narrow" w:hAnsi="Arial Narrow" w:cs="Arial"/>
                <w:b/>
              </w:rPr>
            </w:pPr>
          </w:p>
        </w:tc>
      </w:tr>
      <w:tr w:rsidR="00C80F31" w:rsidRPr="00C80F31" w:rsidTr="00206663">
        <w:trPr>
          <w:trHeight w:val="272"/>
        </w:trPr>
        <w:tc>
          <w:tcPr>
            <w:tcW w:w="6461" w:type="dxa"/>
            <w:gridSpan w:val="2"/>
            <w:vMerge w:val="restart"/>
          </w:tcPr>
          <w:p w:rsidR="003C38DE" w:rsidRPr="00715E0D" w:rsidRDefault="00C80F31" w:rsidP="003C38DE">
            <w:pPr>
              <w:rPr>
                <w:b/>
                <w:sz w:val="20"/>
                <w:szCs w:val="20"/>
              </w:rPr>
            </w:pPr>
            <w:r w:rsidRPr="00C80F31">
              <w:rPr>
                <w:rFonts w:ascii="Arial Narrow" w:hAnsi="Arial Narrow" w:cs="Arial"/>
                <w:b/>
                <w:sz w:val="22"/>
                <w:szCs w:val="22"/>
              </w:rPr>
              <w:t>Brief Course Description:</w:t>
            </w:r>
            <w:r w:rsidR="003C38DE" w:rsidRPr="0002186D">
              <w:rPr>
                <w:b/>
                <w:sz w:val="20"/>
                <w:szCs w:val="20"/>
                <w:u w:val="single"/>
              </w:rPr>
              <w:t xml:space="preserve"> </w:t>
            </w:r>
            <w:r w:rsidR="003C38DE" w:rsidRPr="0002186D">
              <w:rPr>
                <w:sz w:val="20"/>
                <w:szCs w:val="20"/>
              </w:rPr>
              <w:t xml:space="preserve">This course </w:t>
            </w:r>
            <w:r w:rsidR="003C38DE">
              <w:rPr>
                <w:sz w:val="20"/>
                <w:szCs w:val="20"/>
              </w:rPr>
              <w:t xml:space="preserve">will give students further experiences with statistical information and summaries, methods of designing and conducting statistical studies, an opportunity to analyze various voting processes, modeling of data, basic financial decisions, and use network models for making informed decisions.  Topics will be represented in multiple ways such as concrete/pictorial, verbal/written, numeric/data-based, graphical, and symbolic.  </w:t>
            </w:r>
          </w:p>
          <w:p w:rsidR="00C80F31" w:rsidRPr="00C80F31" w:rsidRDefault="00C80F31" w:rsidP="00206663">
            <w:pPr>
              <w:rPr>
                <w:rFonts w:ascii="Arial Narrow" w:hAnsi="Arial Narrow" w:cs="Arial"/>
                <w:b/>
              </w:rPr>
            </w:pPr>
          </w:p>
        </w:tc>
        <w:tc>
          <w:tcPr>
            <w:tcW w:w="4095" w:type="dxa"/>
          </w:tcPr>
          <w:p w:rsidR="00C80F31" w:rsidRPr="00C80F31" w:rsidRDefault="00C80F31" w:rsidP="00206663">
            <w:pPr>
              <w:rPr>
                <w:rFonts w:ascii="Arial Narrow" w:hAnsi="Arial Narrow" w:cs="Arial"/>
                <w:b/>
              </w:rPr>
            </w:pPr>
            <w:r w:rsidRPr="00C80F31">
              <w:rPr>
                <w:rFonts w:ascii="Arial Narrow" w:hAnsi="Arial Narrow" w:cs="Arial"/>
                <w:b/>
                <w:sz w:val="22"/>
                <w:szCs w:val="22"/>
              </w:rPr>
              <w:t>Teacher Email Address:</w:t>
            </w:r>
          </w:p>
          <w:p w:rsidR="00C80F31" w:rsidRDefault="002E372F" w:rsidP="00206663">
            <w:pPr>
              <w:rPr>
                <w:rFonts w:ascii="Arial Narrow" w:hAnsi="Arial Narrow" w:cs="Arial"/>
                <w:b/>
              </w:rPr>
            </w:pPr>
            <w:r>
              <w:rPr>
                <w:rFonts w:ascii="Arial Narrow" w:hAnsi="Arial Narrow" w:cs="Arial"/>
                <w:b/>
              </w:rPr>
              <w:t>speters</w:t>
            </w:r>
            <w:r w:rsidR="003C38DE" w:rsidRPr="003C38DE">
              <w:rPr>
                <w:rFonts w:ascii="Arial Narrow" w:hAnsi="Arial Narrow" w:cs="Arial"/>
                <w:b/>
              </w:rPr>
              <w:t>@paulding.k12.ga.us</w:t>
            </w:r>
          </w:p>
          <w:p w:rsidR="003C38DE" w:rsidRPr="00C80F31" w:rsidRDefault="003C38DE" w:rsidP="00206663">
            <w:pPr>
              <w:rPr>
                <w:rFonts w:ascii="Arial Narrow" w:hAnsi="Arial Narrow" w:cs="Arial"/>
                <w:b/>
              </w:rPr>
            </w:pPr>
          </w:p>
        </w:tc>
      </w:tr>
      <w:tr w:rsidR="00C80F31" w:rsidRPr="00C80F31" w:rsidTr="00206663">
        <w:trPr>
          <w:trHeight w:val="560"/>
        </w:trPr>
        <w:tc>
          <w:tcPr>
            <w:tcW w:w="6461" w:type="dxa"/>
            <w:gridSpan w:val="2"/>
            <w:vMerge/>
          </w:tcPr>
          <w:p w:rsidR="00C80F31" w:rsidRPr="00C80F31" w:rsidRDefault="00C80F31" w:rsidP="00206663">
            <w:pPr>
              <w:rPr>
                <w:rFonts w:ascii="Arial Narrow" w:hAnsi="Arial Narrow" w:cs="Arial"/>
                <w:b/>
              </w:rPr>
            </w:pPr>
          </w:p>
        </w:tc>
        <w:tc>
          <w:tcPr>
            <w:tcW w:w="4095" w:type="dxa"/>
          </w:tcPr>
          <w:p w:rsidR="00912FFE" w:rsidRDefault="00C80F31" w:rsidP="00912FFE">
            <w:pPr>
              <w:rPr>
                <w:rFonts w:ascii="Arial Narrow" w:hAnsi="Arial Narrow" w:cs="Arial"/>
                <w:b/>
              </w:rPr>
            </w:pPr>
            <w:r w:rsidRPr="00C80F31">
              <w:rPr>
                <w:rFonts w:ascii="Arial Narrow" w:hAnsi="Arial Narrow" w:cs="Arial"/>
                <w:b/>
                <w:sz w:val="22"/>
                <w:szCs w:val="22"/>
              </w:rPr>
              <w:t xml:space="preserve">Extra Help Day: </w:t>
            </w:r>
            <w:r w:rsidR="002E372F">
              <w:rPr>
                <w:rFonts w:ascii="Arial Narrow" w:hAnsi="Arial Narrow" w:cs="Arial"/>
                <w:b/>
                <w:sz w:val="22"/>
                <w:szCs w:val="22"/>
              </w:rPr>
              <w:t>Every morning 7:30-8:00 am</w:t>
            </w:r>
            <w:bookmarkStart w:id="0" w:name="_GoBack"/>
            <w:bookmarkEnd w:id="0"/>
          </w:p>
          <w:p w:rsidR="00C80F31" w:rsidRPr="00912FFE" w:rsidRDefault="00C80F31" w:rsidP="00904588">
            <w:pPr>
              <w:rPr>
                <w:rFonts w:ascii="Arial Narrow" w:hAnsi="Arial Narrow" w:cs="Arial"/>
              </w:rPr>
            </w:pPr>
          </w:p>
        </w:tc>
      </w:tr>
      <w:tr w:rsidR="00912FFE" w:rsidRPr="00C80F31" w:rsidTr="00CC151F">
        <w:trPr>
          <w:trHeight w:val="560"/>
        </w:trPr>
        <w:tc>
          <w:tcPr>
            <w:tcW w:w="10556" w:type="dxa"/>
            <w:gridSpan w:val="3"/>
          </w:tcPr>
          <w:p w:rsidR="007646E5" w:rsidRDefault="00912FFE" w:rsidP="007646E5">
            <w:pPr>
              <w:rPr>
                <w:rFonts w:ascii="Arial Narrow" w:hAnsi="Arial Narrow" w:cs="Arial"/>
                <w:b/>
                <w:sz w:val="22"/>
                <w:szCs w:val="22"/>
              </w:rPr>
            </w:pPr>
            <w:r w:rsidRPr="00C80F31">
              <w:rPr>
                <w:rFonts w:ascii="Arial Narrow" w:hAnsi="Arial Narrow" w:cs="Arial"/>
                <w:b/>
                <w:sz w:val="22"/>
                <w:szCs w:val="22"/>
              </w:rPr>
              <w:t>Major Standards &amp; Elements:</w:t>
            </w:r>
            <w:r w:rsidRPr="00C80F31">
              <w:rPr>
                <w:rFonts w:ascii="Arial Narrow" w:hAnsi="Arial Narrow" w:cs="Arial"/>
                <w:b/>
                <w:sz w:val="22"/>
                <w:szCs w:val="22"/>
              </w:rPr>
              <w:tab/>
            </w:r>
          </w:p>
          <w:p w:rsidR="007646E5" w:rsidRPr="000E7B12" w:rsidRDefault="007646E5" w:rsidP="007646E5">
            <w:pPr>
              <w:rPr>
                <w:sz w:val="16"/>
                <w:szCs w:val="16"/>
              </w:rPr>
            </w:pPr>
            <w:r>
              <w:rPr>
                <w:b/>
                <w:bCs/>
                <w:sz w:val="23"/>
                <w:szCs w:val="23"/>
                <w:u w:val="single"/>
              </w:rPr>
              <w:t xml:space="preserve"> </w:t>
            </w:r>
          </w:p>
          <w:p w:rsidR="00912FFE" w:rsidRPr="000E7B12" w:rsidRDefault="007646E5" w:rsidP="00206663">
            <w:pPr>
              <w:rPr>
                <w:rFonts w:ascii="Arial Narrow" w:hAnsi="Arial Narrow" w:cs="Arial"/>
              </w:rPr>
            </w:pPr>
            <w:r w:rsidRPr="000E7B12">
              <w:rPr>
                <w:rFonts w:ascii="Arial Narrow" w:hAnsi="Arial Narrow" w:cs="Arial"/>
              </w:rPr>
              <w:t>For more information on the major standards and elements please visit the website listed below.</w:t>
            </w:r>
          </w:p>
          <w:p w:rsidR="007646E5" w:rsidRPr="00C80F31" w:rsidRDefault="007646E5" w:rsidP="00206663">
            <w:pPr>
              <w:rPr>
                <w:rFonts w:ascii="Arial Narrow" w:hAnsi="Arial Narrow" w:cs="Arial"/>
                <w:b/>
              </w:rPr>
            </w:pPr>
            <w:r w:rsidRPr="007646E5">
              <w:rPr>
                <w:rFonts w:ascii="Arial Narrow" w:hAnsi="Arial Narrow" w:cs="Arial"/>
                <w:b/>
              </w:rPr>
              <w:t>https://www.georgiastandards.org/Common-Core/Pages/Math-9-12.aspx</w:t>
            </w:r>
          </w:p>
        </w:tc>
      </w:tr>
      <w:tr w:rsidR="00912FFE" w:rsidRPr="00C80F31" w:rsidTr="00913D11">
        <w:trPr>
          <w:trHeight w:val="560"/>
        </w:trPr>
        <w:tc>
          <w:tcPr>
            <w:tcW w:w="10556" w:type="dxa"/>
            <w:gridSpan w:val="3"/>
          </w:tcPr>
          <w:p w:rsidR="00E34777" w:rsidRPr="00462729" w:rsidRDefault="00912FFE" w:rsidP="00E34777">
            <w:pPr>
              <w:rPr>
                <w:sz w:val="20"/>
                <w:szCs w:val="20"/>
              </w:rPr>
            </w:pPr>
            <w:r w:rsidRPr="00C80F31">
              <w:rPr>
                <w:rFonts w:ascii="Arial Narrow" w:hAnsi="Arial Narrow" w:cs="Arial"/>
                <w:b/>
                <w:sz w:val="22"/>
                <w:szCs w:val="22"/>
              </w:rPr>
              <w:t xml:space="preserve">Grading </w:t>
            </w:r>
            <w:r>
              <w:rPr>
                <w:rFonts w:ascii="Arial Narrow" w:hAnsi="Arial Narrow" w:cs="Arial"/>
                <w:b/>
                <w:sz w:val="22"/>
                <w:szCs w:val="22"/>
              </w:rPr>
              <w:t xml:space="preserve">&amp; Recovery </w:t>
            </w:r>
            <w:r w:rsidRPr="00C80F31">
              <w:rPr>
                <w:rFonts w:ascii="Arial Narrow" w:hAnsi="Arial Narrow" w:cs="Arial"/>
                <w:b/>
                <w:sz w:val="22"/>
                <w:szCs w:val="22"/>
              </w:rPr>
              <w:t>Policy:</w:t>
            </w:r>
            <w:r w:rsidR="00E34777">
              <w:rPr>
                <w:rFonts w:ascii="Arial Narrow" w:hAnsi="Arial Narrow" w:cs="Arial"/>
                <w:b/>
                <w:sz w:val="22"/>
                <w:szCs w:val="22"/>
              </w:rPr>
              <w:t xml:space="preserve"> </w:t>
            </w:r>
            <w:r w:rsidR="00E34777" w:rsidRPr="00462729">
              <w:rPr>
                <w:sz w:val="20"/>
                <w:szCs w:val="20"/>
              </w:rPr>
              <w:t xml:space="preserve"> A student may recover a Summative assignment provided that it was attempted when initially given.</w:t>
            </w:r>
            <w:r w:rsidR="00E34777">
              <w:rPr>
                <w:sz w:val="20"/>
                <w:szCs w:val="20"/>
              </w:rPr>
              <w:t xml:space="preserve">  When </w:t>
            </w:r>
            <w:r w:rsidR="007646E5">
              <w:rPr>
                <w:sz w:val="20"/>
                <w:szCs w:val="20"/>
              </w:rPr>
              <w:t>you recover</w:t>
            </w:r>
            <w:r w:rsidR="00E34777">
              <w:rPr>
                <w:sz w:val="20"/>
                <w:szCs w:val="20"/>
              </w:rPr>
              <w:t xml:space="preserve"> a summative that is a project, the recovery will be a written test for the unit.</w:t>
            </w:r>
          </w:p>
          <w:p w:rsidR="00E34777" w:rsidRPr="00462729" w:rsidRDefault="00E34777" w:rsidP="00E34777">
            <w:pPr>
              <w:rPr>
                <w:sz w:val="20"/>
                <w:szCs w:val="20"/>
              </w:rPr>
            </w:pPr>
          </w:p>
          <w:p w:rsidR="00E34777" w:rsidRPr="00462729" w:rsidRDefault="00E34777" w:rsidP="00E34777">
            <w:pPr>
              <w:rPr>
                <w:sz w:val="20"/>
                <w:szCs w:val="20"/>
              </w:rPr>
            </w:pPr>
            <w:r w:rsidRPr="00462729">
              <w:rPr>
                <w:sz w:val="20"/>
                <w:szCs w:val="20"/>
              </w:rPr>
              <w:t>In order to recover a Summative assignment, students must consult with their teacher to obtain the remediation assignment. This remediation assignment may include, but is not limited to, correcting the formal assignment, completing extra assignments, attending tutorial session(s), and homework completion. The student must obtain the remediation assignment within three days of receiving the graded formal assignment that they wish to recover. The student must complete the recovery assignment within a time period to be determined by their teacher.</w:t>
            </w:r>
          </w:p>
          <w:p w:rsidR="00E34777" w:rsidRPr="00462729" w:rsidRDefault="00E34777" w:rsidP="00E34777">
            <w:pPr>
              <w:rPr>
                <w:sz w:val="20"/>
                <w:szCs w:val="20"/>
              </w:rPr>
            </w:pPr>
          </w:p>
          <w:p w:rsidR="00E34777" w:rsidRPr="00462729" w:rsidRDefault="00E34777" w:rsidP="00E34777">
            <w:pPr>
              <w:rPr>
                <w:sz w:val="20"/>
                <w:szCs w:val="20"/>
              </w:rPr>
            </w:pPr>
            <w:r w:rsidRPr="00462729">
              <w:rPr>
                <w:sz w:val="20"/>
                <w:szCs w:val="20"/>
              </w:rPr>
              <w:t xml:space="preserve">FORMATIVE assignments (homework, quizzes, </w:t>
            </w:r>
            <w:r w:rsidR="002E372F" w:rsidRPr="00462729">
              <w:rPr>
                <w:sz w:val="20"/>
                <w:szCs w:val="20"/>
              </w:rPr>
              <w:t>etc.</w:t>
            </w:r>
            <w:r w:rsidRPr="00462729">
              <w:rPr>
                <w:sz w:val="20"/>
                <w:szCs w:val="20"/>
              </w:rPr>
              <w:t>) MAY NOT BE RECOVERED.</w:t>
            </w:r>
          </w:p>
          <w:p w:rsidR="00E34777" w:rsidRPr="00462729" w:rsidRDefault="00E34777" w:rsidP="00E34777">
            <w:pPr>
              <w:rPr>
                <w:b/>
                <w:sz w:val="20"/>
                <w:szCs w:val="20"/>
                <w:u w:val="single"/>
              </w:rPr>
            </w:pPr>
          </w:p>
          <w:p w:rsidR="00E34777" w:rsidRPr="00462729" w:rsidRDefault="00E34777" w:rsidP="00E34777">
            <w:pPr>
              <w:rPr>
                <w:sz w:val="20"/>
                <w:szCs w:val="20"/>
              </w:rPr>
            </w:pPr>
            <w:r w:rsidRPr="00462729">
              <w:rPr>
                <w:b/>
                <w:sz w:val="20"/>
                <w:szCs w:val="20"/>
                <w:u w:val="single"/>
              </w:rPr>
              <w:t>Grading of recovered assignment</w:t>
            </w:r>
            <w:r w:rsidRPr="00462729">
              <w:rPr>
                <w:sz w:val="20"/>
                <w:szCs w:val="20"/>
              </w:rPr>
              <w:t>: The original assessment grade and the recovered assessment grade will be averaged together to determine your final grade.</w:t>
            </w:r>
          </w:p>
          <w:p w:rsidR="00912FFE" w:rsidRPr="00C80F31" w:rsidRDefault="00912FFE" w:rsidP="00206663">
            <w:pPr>
              <w:rPr>
                <w:rFonts w:ascii="Arial Narrow" w:hAnsi="Arial Narrow" w:cs="Arial"/>
                <w:b/>
                <w:sz w:val="22"/>
                <w:szCs w:val="22"/>
              </w:rPr>
            </w:pPr>
          </w:p>
        </w:tc>
      </w:tr>
      <w:tr w:rsidR="00C80F31" w:rsidRPr="00C80F31" w:rsidTr="00206663">
        <w:trPr>
          <w:trHeight w:val="560"/>
        </w:trPr>
        <w:tc>
          <w:tcPr>
            <w:tcW w:w="10556" w:type="dxa"/>
            <w:gridSpan w:val="3"/>
          </w:tcPr>
          <w:p w:rsidR="00C80F31" w:rsidRDefault="00C80F31" w:rsidP="00206663">
            <w:pPr>
              <w:rPr>
                <w:rFonts w:ascii="Arial Narrow" w:hAnsi="Arial Narrow" w:cs="Arial"/>
                <w:b/>
                <w:sz w:val="22"/>
                <w:szCs w:val="22"/>
              </w:rPr>
            </w:pPr>
            <w:r w:rsidRPr="00C80F31">
              <w:rPr>
                <w:rFonts w:ascii="Arial Narrow" w:hAnsi="Arial Narrow" w:cs="Arial"/>
                <w:b/>
                <w:sz w:val="22"/>
                <w:szCs w:val="22"/>
              </w:rPr>
              <w:t>End of Course Test Information:</w:t>
            </w:r>
          </w:p>
          <w:p w:rsidR="00904588" w:rsidRPr="00C80F31" w:rsidRDefault="00904588" w:rsidP="00206663">
            <w:pPr>
              <w:rPr>
                <w:rFonts w:ascii="Arial Narrow" w:hAnsi="Arial Narrow" w:cs="Arial"/>
                <w:b/>
              </w:rPr>
            </w:pPr>
          </w:p>
          <w:p w:rsidR="00C80F31" w:rsidRDefault="00904588" w:rsidP="00904588">
            <w:pPr>
              <w:pStyle w:val="Default"/>
              <w:spacing w:before="3"/>
              <w:rPr>
                <w:rFonts w:ascii="Arial Narrow" w:hAnsi="Arial Narrow" w:cs="Arial"/>
                <w:b/>
                <w:i/>
                <w:sz w:val="22"/>
                <w:szCs w:val="22"/>
              </w:rPr>
            </w:pPr>
            <w:r>
              <w:rPr>
                <w:rFonts w:ascii="Arial Narrow" w:hAnsi="Arial Narrow" w:cs="Arial"/>
                <w:b/>
                <w:i/>
                <w:sz w:val="22"/>
                <w:szCs w:val="22"/>
              </w:rPr>
              <w:t>There is no EOC or SLO for this course.  There will be a 20% final exam which may be exempted in accordance with the school’s exemption policy.</w:t>
            </w:r>
          </w:p>
          <w:p w:rsidR="00904588" w:rsidRPr="00C80F31" w:rsidRDefault="00904588" w:rsidP="00904588">
            <w:pPr>
              <w:pStyle w:val="Default"/>
              <w:spacing w:before="3"/>
              <w:rPr>
                <w:rFonts w:ascii="Arial Narrow" w:hAnsi="Arial Narrow" w:cs="Arial"/>
                <w:b/>
                <w:i/>
                <w:sz w:val="22"/>
                <w:szCs w:val="22"/>
              </w:rPr>
            </w:pPr>
          </w:p>
        </w:tc>
      </w:tr>
      <w:tr w:rsidR="00C80F31" w:rsidRPr="00C80F31" w:rsidTr="00206663">
        <w:trPr>
          <w:trHeight w:val="560"/>
        </w:trPr>
        <w:tc>
          <w:tcPr>
            <w:tcW w:w="2501" w:type="dxa"/>
          </w:tcPr>
          <w:p w:rsidR="00C80F31" w:rsidRPr="00C80F31" w:rsidRDefault="00C80F31" w:rsidP="00206663">
            <w:pPr>
              <w:rPr>
                <w:rFonts w:ascii="Arial Narrow" w:hAnsi="Arial Narrow" w:cs="Arial"/>
                <w:b/>
              </w:rPr>
            </w:pPr>
            <w:r w:rsidRPr="00C80F31">
              <w:rPr>
                <w:rFonts w:ascii="Arial Narrow" w:hAnsi="Arial Narrow" w:cs="Arial"/>
                <w:b/>
                <w:sz w:val="22"/>
                <w:szCs w:val="22"/>
              </w:rPr>
              <w:t>Grading Weights &amp; Descriptions</w:t>
            </w:r>
          </w:p>
          <w:p w:rsidR="00C80F31" w:rsidRPr="00C80F31" w:rsidRDefault="00C80F31" w:rsidP="00206663">
            <w:pPr>
              <w:rPr>
                <w:rFonts w:ascii="Arial Narrow" w:hAnsi="Arial Narrow" w:cs="Arial"/>
                <w:b/>
              </w:rPr>
            </w:pPr>
          </w:p>
          <w:p w:rsidR="00C80F31" w:rsidRPr="00C80F31" w:rsidRDefault="006101CC" w:rsidP="00206663">
            <w:pPr>
              <w:rPr>
                <w:rFonts w:ascii="Arial Narrow" w:hAnsi="Arial Narrow" w:cs="Arial"/>
                <w:b/>
              </w:rPr>
            </w:pPr>
            <w:r>
              <w:rPr>
                <w:rFonts w:ascii="Arial Narrow" w:hAnsi="Arial Narrow" w:cs="Arial"/>
                <w:b/>
                <w:sz w:val="22"/>
                <w:szCs w:val="22"/>
              </w:rPr>
              <w:t xml:space="preserve">Informal </w:t>
            </w:r>
            <w:r w:rsidRPr="006101CC">
              <w:rPr>
                <w:rFonts w:ascii="Arial Narrow" w:hAnsi="Arial Narrow" w:cs="Arial"/>
                <w:b/>
                <w:sz w:val="22"/>
                <w:szCs w:val="22"/>
                <w:u w:val="single"/>
              </w:rPr>
              <w:t xml:space="preserve"> </w:t>
            </w:r>
            <w:r w:rsidR="009731EA" w:rsidRPr="006101CC">
              <w:rPr>
                <w:rFonts w:ascii="Arial Narrow" w:hAnsi="Arial Narrow" w:cs="Arial"/>
                <w:b/>
                <w:sz w:val="22"/>
                <w:szCs w:val="22"/>
                <w:u w:val="single"/>
              </w:rPr>
              <w:t>0</w:t>
            </w:r>
            <w:r w:rsidR="00C80F31" w:rsidRPr="006101CC">
              <w:rPr>
                <w:rFonts w:ascii="Arial Narrow" w:hAnsi="Arial Narrow" w:cs="Arial"/>
                <w:b/>
                <w:sz w:val="22"/>
                <w:szCs w:val="22"/>
                <w:u w:val="single"/>
              </w:rPr>
              <w:t>%</w:t>
            </w:r>
          </w:p>
          <w:p w:rsidR="00C80F31" w:rsidRPr="006101CC" w:rsidRDefault="00C80F31" w:rsidP="00206663">
            <w:pPr>
              <w:rPr>
                <w:rFonts w:ascii="Arial Narrow" w:hAnsi="Arial Narrow" w:cs="Arial"/>
                <w:b/>
                <w:u w:val="single"/>
              </w:rPr>
            </w:pPr>
            <w:r w:rsidRPr="00C80F31">
              <w:rPr>
                <w:rFonts w:ascii="Arial Narrow" w:hAnsi="Arial Narrow" w:cs="Arial"/>
                <w:b/>
                <w:sz w:val="22"/>
                <w:szCs w:val="22"/>
              </w:rPr>
              <w:t xml:space="preserve">Formative </w:t>
            </w:r>
            <w:r w:rsidRPr="006101CC">
              <w:rPr>
                <w:rFonts w:ascii="Arial Narrow" w:hAnsi="Arial Narrow" w:cs="Arial"/>
                <w:b/>
                <w:sz w:val="22"/>
                <w:szCs w:val="22"/>
                <w:u w:val="single"/>
              </w:rPr>
              <w:t xml:space="preserve"> </w:t>
            </w:r>
            <w:r w:rsidR="006101CC">
              <w:rPr>
                <w:rFonts w:ascii="Arial Narrow" w:hAnsi="Arial Narrow" w:cs="Arial"/>
                <w:b/>
                <w:sz w:val="22"/>
                <w:szCs w:val="22"/>
                <w:u w:val="single"/>
              </w:rPr>
              <w:t>24</w:t>
            </w:r>
            <w:r w:rsidRPr="006101CC">
              <w:rPr>
                <w:rFonts w:ascii="Arial Narrow" w:hAnsi="Arial Narrow" w:cs="Arial"/>
                <w:b/>
                <w:sz w:val="22"/>
                <w:szCs w:val="22"/>
                <w:u w:val="single"/>
              </w:rPr>
              <w:t>%</w:t>
            </w:r>
          </w:p>
          <w:p w:rsidR="00C80F31" w:rsidRPr="00C80F31" w:rsidRDefault="00C80F31" w:rsidP="00206663">
            <w:pPr>
              <w:rPr>
                <w:rFonts w:ascii="Arial Narrow" w:hAnsi="Arial Narrow" w:cs="Arial"/>
                <w:b/>
              </w:rPr>
            </w:pPr>
            <w:r w:rsidRPr="00C80F31">
              <w:rPr>
                <w:rFonts w:ascii="Arial Narrow" w:hAnsi="Arial Narrow" w:cs="Arial"/>
                <w:b/>
                <w:sz w:val="22"/>
                <w:szCs w:val="22"/>
              </w:rPr>
              <w:t xml:space="preserve">Summative  </w:t>
            </w:r>
            <w:r w:rsidRPr="00C80F31">
              <w:rPr>
                <w:rFonts w:ascii="Arial Narrow" w:hAnsi="Arial Narrow" w:cs="Arial"/>
                <w:b/>
                <w:sz w:val="22"/>
                <w:szCs w:val="22"/>
                <w:u w:val="single"/>
              </w:rPr>
              <w:t xml:space="preserve"> </w:t>
            </w:r>
            <w:r w:rsidR="006101CC">
              <w:rPr>
                <w:rFonts w:ascii="Arial Narrow" w:hAnsi="Arial Narrow" w:cs="Arial"/>
                <w:b/>
                <w:sz w:val="22"/>
                <w:szCs w:val="22"/>
                <w:u w:val="single"/>
              </w:rPr>
              <w:t>56</w:t>
            </w:r>
            <w:r w:rsidRPr="00C80F31">
              <w:rPr>
                <w:rFonts w:ascii="Arial Narrow" w:hAnsi="Arial Narrow" w:cs="Arial"/>
                <w:b/>
                <w:sz w:val="22"/>
                <w:szCs w:val="22"/>
              </w:rPr>
              <w:t>%</w:t>
            </w:r>
          </w:p>
          <w:p w:rsidR="00C80F31" w:rsidRPr="00C80F31" w:rsidRDefault="00617CD2" w:rsidP="00904588">
            <w:pPr>
              <w:rPr>
                <w:rFonts w:ascii="Arial Narrow" w:hAnsi="Arial Narrow" w:cs="Arial"/>
                <w:b/>
              </w:rPr>
            </w:pPr>
            <w:r>
              <w:rPr>
                <w:rFonts w:ascii="Arial Narrow" w:hAnsi="Arial Narrow" w:cs="Arial"/>
                <w:b/>
                <w:sz w:val="22"/>
                <w:szCs w:val="22"/>
              </w:rPr>
              <w:t>Final Exam</w:t>
            </w:r>
            <w:r w:rsidR="009731EA">
              <w:rPr>
                <w:rFonts w:ascii="Arial Narrow" w:hAnsi="Arial Narrow" w:cs="Arial"/>
                <w:b/>
                <w:sz w:val="22"/>
                <w:szCs w:val="22"/>
              </w:rPr>
              <w:t xml:space="preserve"> </w:t>
            </w:r>
            <w:r w:rsidR="006101CC" w:rsidRPr="006101CC">
              <w:rPr>
                <w:rFonts w:ascii="Arial Narrow" w:hAnsi="Arial Narrow" w:cs="Arial"/>
                <w:b/>
                <w:sz w:val="22"/>
                <w:szCs w:val="22"/>
                <w:u w:val="single"/>
              </w:rPr>
              <w:t xml:space="preserve"> </w:t>
            </w:r>
            <w:r w:rsidR="009731EA" w:rsidRPr="006101CC">
              <w:rPr>
                <w:rFonts w:ascii="Arial Narrow" w:hAnsi="Arial Narrow" w:cs="Arial"/>
                <w:b/>
                <w:sz w:val="22"/>
                <w:szCs w:val="22"/>
                <w:u w:val="single"/>
              </w:rPr>
              <w:t>20</w:t>
            </w:r>
            <w:r w:rsidR="00C80F31" w:rsidRPr="00C80F31">
              <w:rPr>
                <w:rFonts w:ascii="Arial Narrow" w:hAnsi="Arial Narrow" w:cs="Arial"/>
                <w:b/>
                <w:sz w:val="22"/>
                <w:szCs w:val="22"/>
                <w:u w:val="single"/>
              </w:rPr>
              <w:t>%</w:t>
            </w:r>
          </w:p>
        </w:tc>
        <w:tc>
          <w:tcPr>
            <w:tcW w:w="3960" w:type="dxa"/>
          </w:tcPr>
          <w:p w:rsidR="00C80F31" w:rsidRDefault="00C80F31" w:rsidP="00206663">
            <w:pPr>
              <w:rPr>
                <w:rFonts w:ascii="Arial Narrow" w:hAnsi="Arial Narrow" w:cs="Arial"/>
                <w:sz w:val="22"/>
                <w:szCs w:val="22"/>
              </w:rPr>
            </w:pPr>
            <w:r w:rsidRPr="00C80F31">
              <w:rPr>
                <w:rFonts w:ascii="Arial Narrow" w:hAnsi="Arial Narrow" w:cs="Arial"/>
                <w:b/>
                <w:sz w:val="22"/>
                <w:szCs w:val="22"/>
              </w:rPr>
              <w:t>Formative Assessments</w:t>
            </w:r>
            <w:r w:rsidRPr="00C80F31">
              <w:rPr>
                <w:rFonts w:ascii="Arial Narrow" w:hAnsi="Arial Narrow" w:cs="Arial"/>
                <w:sz w:val="22"/>
                <w:szCs w:val="22"/>
              </w:rPr>
              <w:t xml:space="preserve"> are samples of students work before, during, and after instruction that identify needs and help provide continuous feedback to students which can include journal writing, projects, hands-on activities, quizzes, homework, etc.</w:t>
            </w:r>
          </w:p>
          <w:p w:rsidR="00D84492" w:rsidRPr="00C80F31" w:rsidRDefault="00D84492" w:rsidP="00D84492">
            <w:pPr>
              <w:rPr>
                <w:rFonts w:ascii="Arial Narrow" w:hAnsi="Arial Narrow" w:cs="Arial"/>
                <w:b/>
              </w:rPr>
            </w:pPr>
          </w:p>
        </w:tc>
        <w:tc>
          <w:tcPr>
            <w:tcW w:w="4095" w:type="dxa"/>
          </w:tcPr>
          <w:p w:rsidR="00C80F31" w:rsidRPr="00C80F31" w:rsidRDefault="00C80F31" w:rsidP="00206663">
            <w:pPr>
              <w:rPr>
                <w:rFonts w:ascii="Arial Narrow" w:hAnsi="Arial Narrow" w:cs="Arial"/>
              </w:rPr>
            </w:pPr>
            <w:r w:rsidRPr="00C80F31">
              <w:rPr>
                <w:rFonts w:ascii="Arial Narrow" w:hAnsi="Arial Narrow" w:cs="Arial"/>
                <w:b/>
                <w:sz w:val="22"/>
                <w:szCs w:val="22"/>
              </w:rPr>
              <w:t>Summative/Formal Assessments</w:t>
            </w:r>
            <w:r w:rsidRPr="00C80F31">
              <w:rPr>
                <w:rFonts w:ascii="Arial Narrow" w:hAnsi="Arial Narrow" w:cs="Arial"/>
                <w:sz w:val="22"/>
                <w:szCs w:val="22"/>
              </w:rPr>
              <w:t xml:space="preserve"> are major culminating tasks such as projects, research, essays, labs, portfolio, tests, etc.</w:t>
            </w:r>
          </w:p>
          <w:p w:rsidR="00C80F31" w:rsidRPr="00C80F31" w:rsidRDefault="00C80F31" w:rsidP="00206663">
            <w:pPr>
              <w:rPr>
                <w:rFonts w:ascii="Arial Narrow" w:hAnsi="Arial Narrow" w:cs="Arial"/>
              </w:rPr>
            </w:pPr>
          </w:p>
          <w:p w:rsidR="00C80F31" w:rsidRPr="00C80F31" w:rsidRDefault="00C80F31" w:rsidP="00C80F31">
            <w:pPr>
              <w:rPr>
                <w:rFonts w:ascii="Arial Narrow" w:hAnsi="Arial Narrow" w:cs="Arial"/>
                <w:b/>
              </w:rPr>
            </w:pPr>
            <w:r w:rsidRPr="00C80F31">
              <w:rPr>
                <w:rFonts w:ascii="Arial Narrow" w:hAnsi="Arial Narrow" w:cs="Arial"/>
                <w:sz w:val="22"/>
                <w:szCs w:val="22"/>
              </w:rPr>
              <w:t>Informal Activities:  Non-weighted practice opportunities that will assist the student in mastering the standards.</w:t>
            </w:r>
          </w:p>
        </w:tc>
      </w:tr>
      <w:tr w:rsidR="00C80F31" w:rsidRPr="00C80F31" w:rsidTr="00206663">
        <w:trPr>
          <w:trHeight w:val="560"/>
        </w:trPr>
        <w:tc>
          <w:tcPr>
            <w:tcW w:w="10556" w:type="dxa"/>
            <w:gridSpan w:val="3"/>
          </w:tcPr>
          <w:p w:rsidR="00C80F31" w:rsidRDefault="00C80F31" w:rsidP="00206663">
            <w:pPr>
              <w:rPr>
                <w:rFonts w:ascii="Arial Narrow" w:hAnsi="Arial Narrow" w:cs="Arial"/>
                <w:b/>
                <w:sz w:val="22"/>
                <w:szCs w:val="22"/>
              </w:rPr>
            </w:pPr>
            <w:r w:rsidRPr="00C80F31">
              <w:rPr>
                <w:rFonts w:ascii="Arial Narrow" w:hAnsi="Arial Narrow" w:cs="Arial"/>
                <w:b/>
                <w:sz w:val="22"/>
                <w:szCs w:val="22"/>
              </w:rPr>
              <w:lastRenderedPageBreak/>
              <w:t>Conduct &amp; Work Habit Expectations:</w:t>
            </w:r>
          </w:p>
          <w:p w:rsidR="00D84492" w:rsidRDefault="00D84492" w:rsidP="00206663">
            <w:pPr>
              <w:rPr>
                <w:rFonts w:ascii="Arial Narrow" w:hAnsi="Arial Narrow" w:cs="Arial"/>
                <w:b/>
              </w:rPr>
            </w:pPr>
          </w:p>
          <w:p w:rsidR="000E7B12" w:rsidRPr="00565B0C" w:rsidRDefault="000E7B12" w:rsidP="000E7B12">
            <w:pPr>
              <w:rPr>
                <w:b/>
                <w:u w:val="single"/>
              </w:rPr>
            </w:pPr>
            <w:r w:rsidRPr="00C24603">
              <w:rPr>
                <w:sz w:val="20"/>
                <w:szCs w:val="20"/>
              </w:rPr>
              <w:t>AMDM is a rigorous course and much of what we learn in this class will come from in-class projects, group discussions, and collaborative projects</w:t>
            </w:r>
            <w:r w:rsidRPr="00C24603">
              <w:rPr>
                <w:i/>
                <w:sz w:val="20"/>
                <w:szCs w:val="20"/>
              </w:rPr>
              <w:t xml:space="preserve">.  </w:t>
            </w:r>
            <w:r w:rsidRPr="00CA7BB3">
              <w:rPr>
                <w:b/>
                <w:i/>
                <w:sz w:val="20"/>
                <w:szCs w:val="20"/>
              </w:rPr>
              <w:t>Regular attendance in this class is crucial to students’ success.</w:t>
            </w:r>
            <w:r w:rsidRPr="00C24603">
              <w:rPr>
                <w:i/>
                <w:sz w:val="20"/>
                <w:szCs w:val="20"/>
              </w:rPr>
              <w:t xml:space="preserve">  </w:t>
            </w:r>
            <w:r w:rsidRPr="00C24603">
              <w:rPr>
                <w:sz w:val="20"/>
                <w:szCs w:val="20"/>
              </w:rPr>
              <w:t xml:space="preserve">In the event of an absence, it is the student’s responsibility to obtain any missed / make-up work and turn it in within the same number of days that he / she was absent.  If a test or major project is missed, that student will be responsible for completing that on the day that they return.  </w:t>
            </w:r>
          </w:p>
          <w:p w:rsidR="000E7B12" w:rsidRPr="00C80F31" w:rsidRDefault="000E7B12" w:rsidP="00206663">
            <w:pPr>
              <w:rPr>
                <w:rFonts w:ascii="Arial Narrow" w:hAnsi="Arial Narrow" w:cs="Arial"/>
                <w:b/>
              </w:rPr>
            </w:pPr>
          </w:p>
          <w:p w:rsidR="00D84492" w:rsidRDefault="00D84492" w:rsidP="00D84492">
            <w:pPr>
              <w:rPr>
                <w:b/>
                <w:sz w:val="20"/>
                <w:szCs w:val="20"/>
              </w:rPr>
            </w:pPr>
            <w:r w:rsidRPr="00281731">
              <w:rPr>
                <w:b/>
                <w:sz w:val="20"/>
                <w:szCs w:val="20"/>
              </w:rPr>
              <w:t>YOU WILL NOT RECEIVE CREDIT ON ANY ASSIGNMENT (HOMEWORK, TESTS, QUIZZES, ETC) UNLESS YOU SHOW WORK</w:t>
            </w:r>
            <w:r>
              <w:rPr>
                <w:sz w:val="20"/>
                <w:szCs w:val="20"/>
              </w:rPr>
              <w:t xml:space="preserve">.  The completion of all assignments is important in being successful in AMDM.  Every effort must be given in doing and completing projects, presentations, and class work.   </w:t>
            </w:r>
            <w:r w:rsidRPr="00E119B3">
              <w:rPr>
                <w:b/>
                <w:sz w:val="20"/>
                <w:szCs w:val="20"/>
              </w:rPr>
              <w:t>Students must be actively engaged and must participate in their assigned groups.</w:t>
            </w:r>
          </w:p>
          <w:p w:rsidR="007341DA" w:rsidRPr="00565B0C" w:rsidRDefault="007341DA" w:rsidP="00D84492">
            <w:pPr>
              <w:rPr>
                <w:b/>
                <w:sz w:val="20"/>
                <w:szCs w:val="20"/>
              </w:rPr>
            </w:pPr>
          </w:p>
          <w:p w:rsidR="000E7B12" w:rsidRDefault="000E7B12" w:rsidP="000E7B12">
            <w:pPr>
              <w:rPr>
                <w:sz w:val="20"/>
                <w:szCs w:val="20"/>
              </w:rPr>
            </w:pPr>
            <w:r w:rsidRPr="0002186D">
              <w:rPr>
                <w:b/>
                <w:sz w:val="20"/>
                <w:szCs w:val="20"/>
                <w:u w:val="single"/>
              </w:rPr>
              <w:t>Materials Needed:</w:t>
            </w:r>
            <w:r w:rsidRPr="0002186D">
              <w:rPr>
                <w:sz w:val="20"/>
                <w:szCs w:val="20"/>
              </w:rPr>
              <w:t xml:space="preserve">     </w:t>
            </w:r>
          </w:p>
          <w:p w:rsidR="000E7B12" w:rsidRPr="0002186D" w:rsidRDefault="000E7B12" w:rsidP="000E7B12">
            <w:pPr>
              <w:numPr>
                <w:ilvl w:val="0"/>
                <w:numId w:val="2"/>
              </w:numPr>
              <w:rPr>
                <w:sz w:val="20"/>
                <w:szCs w:val="20"/>
              </w:rPr>
            </w:pPr>
            <w:r>
              <w:rPr>
                <w:sz w:val="20"/>
                <w:szCs w:val="20"/>
              </w:rPr>
              <w:t>3 ring binder notebook  with 7 dividers for each unit of study</w:t>
            </w:r>
          </w:p>
          <w:p w:rsidR="000E7B12" w:rsidRPr="002941E6" w:rsidRDefault="000E7B12" w:rsidP="000E7B12">
            <w:pPr>
              <w:numPr>
                <w:ilvl w:val="0"/>
                <w:numId w:val="2"/>
              </w:numPr>
              <w:rPr>
                <w:i/>
                <w:iCs/>
                <w:sz w:val="20"/>
                <w:szCs w:val="20"/>
              </w:rPr>
            </w:pPr>
            <w:r w:rsidRPr="0002186D">
              <w:rPr>
                <w:sz w:val="20"/>
                <w:szCs w:val="20"/>
              </w:rPr>
              <w:t xml:space="preserve">Pencils </w:t>
            </w:r>
            <w:r>
              <w:rPr>
                <w:sz w:val="20"/>
                <w:szCs w:val="20"/>
              </w:rPr>
              <w:t xml:space="preserve">and paper   </w:t>
            </w:r>
          </w:p>
          <w:p w:rsidR="000E7B12" w:rsidRDefault="000E7B12" w:rsidP="000E7B12">
            <w:pPr>
              <w:numPr>
                <w:ilvl w:val="0"/>
                <w:numId w:val="2"/>
              </w:numPr>
              <w:rPr>
                <w:sz w:val="20"/>
                <w:szCs w:val="20"/>
              </w:rPr>
            </w:pPr>
            <w:r>
              <w:rPr>
                <w:sz w:val="20"/>
                <w:szCs w:val="20"/>
              </w:rPr>
              <w:t>Calculator – TI-30XS Multiview</w:t>
            </w:r>
          </w:p>
          <w:p w:rsidR="000E7B12" w:rsidRDefault="000E7B12" w:rsidP="000E7B12">
            <w:pPr>
              <w:numPr>
                <w:ilvl w:val="0"/>
                <w:numId w:val="2"/>
              </w:numPr>
              <w:rPr>
                <w:b/>
                <w:sz w:val="20"/>
                <w:szCs w:val="20"/>
              </w:rPr>
            </w:pPr>
            <w:r w:rsidRPr="00B31F69">
              <w:rPr>
                <w:b/>
                <w:sz w:val="20"/>
                <w:szCs w:val="20"/>
              </w:rPr>
              <w:t>flash drive</w:t>
            </w:r>
            <w:r>
              <w:rPr>
                <w:b/>
                <w:sz w:val="20"/>
                <w:szCs w:val="20"/>
              </w:rPr>
              <w:t xml:space="preserve"> (very important to have)</w:t>
            </w:r>
          </w:p>
          <w:p w:rsidR="007341DA" w:rsidRPr="00B31F69" w:rsidRDefault="007341DA" w:rsidP="007341DA">
            <w:pPr>
              <w:ind w:left="720"/>
              <w:rPr>
                <w:b/>
                <w:sz w:val="20"/>
                <w:szCs w:val="20"/>
              </w:rPr>
            </w:pPr>
          </w:p>
          <w:p w:rsidR="007341DA" w:rsidRDefault="007341DA" w:rsidP="007341DA">
            <w:pPr>
              <w:rPr>
                <w:sz w:val="20"/>
                <w:szCs w:val="20"/>
              </w:rPr>
            </w:pPr>
            <w:r w:rsidRPr="0002186D">
              <w:rPr>
                <w:b/>
                <w:sz w:val="20"/>
                <w:szCs w:val="20"/>
                <w:u w:val="single"/>
              </w:rPr>
              <w:t>Extra Credit:</w:t>
            </w:r>
            <w:r>
              <w:rPr>
                <w:sz w:val="20"/>
                <w:szCs w:val="20"/>
              </w:rPr>
              <w:t xml:space="preserve">  </w:t>
            </w:r>
            <w:r w:rsidRPr="0002186D">
              <w:rPr>
                <w:sz w:val="20"/>
                <w:szCs w:val="20"/>
              </w:rPr>
              <w:t>Extra credit is not considered an option for making up work or improving low averages.</w:t>
            </w:r>
          </w:p>
          <w:p w:rsidR="00C80F31" w:rsidRPr="00C80F31" w:rsidRDefault="000E7B12" w:rsidP="000E7B12">
            <w:pPr>
              <w:tabs>
                <w:tab w:val="left" w:pos="3570"/>
                <w:tab w:val="center" w:pos="5170"/>
              </w:tabs>
              <w:rPr>
                <w:rFonts w:ascii="Arial Narrow" w:hAnsi="Arial Narrow" w:cs="Arial"/>
                <w:b/>
              </w:rPr>
            </w:pPr>
            <w:r>
              <w:rPr>
                <w:rFonts w:ascii="Arial Narrow" w:hAnsi="Arial Narrow" w:cs="Arial"/>
                <w:b/>
              </w:rPr>
              <w:tab/>
            </w:r>
          </w:p>
          <w:p w:rsidR="00C80F31" w:rsidRPr="00C80F31" w:rsidRDefault="00C80F31" w:rsidP="00206663">
            <w:pPr>
              <w:pStyle w:val="NormalWeb"/>
              <w:rPr>
                <w:rFonts w:ascii="Arial Narrow" w:hAnsi="Arial Narrow" w:cs="Arial"/>
              </w:rPr>
            </w:pPr>
            <w:r w:rsidRPr="00C80F31">
              <w:rPr>
                <w:rFonts w:ascii="Arial Narrow" w:hAnsi="Arial Narrow" w:cs="Arial"/>
                <w:b/>
                <w:sz w:val="22"/>
                <w:szCs w:val="22"/>
              </w:rPr>
              <w:t xml:space="preserve">Plagiarism/Cheating Policy:   </w:t>
            </w:r>
            <w:r w:rsidRPr="00C80F31">
              <w:rPr>
                <w:rFonts w:ascii="Arial Narrow" w:hAnsi="Arial Narrow" w:cs="Arial"/>
                <w:sz w:val="22"/>
                <w:szCs w:val="22"/>
              </w:rPr>
              <w:t>Cheating and/or plagiarism are regarded as very serious offenses.  Copying or paraphrasing material/text from the work of another student, from published sources (i.e.:  Cliff Notes, magazines, newspapers, etc.) and/or from the Internet without proper documentation constitutes academic theft which will result in a zero and possibly an administrative referral.</w:t>
            </w:r>
          </w:p>
          <w:p w:rsidR="00C80F31" w:rsidRPr="00C80F31" w:rsidRDefault="00C80F31" w:rsidP="00206663">
            <w:pPr>
              <w:rPr>
                <w:rFonts w:ascii="Arial Narrow" w:hAnsi="Arial Narrow" w:cs="Arial"/>
                <w:b/>
              </w:rPr>
            </w:pPr>
          </w:p>
        </w:tc>
      </w:tr>
    </w:tbl>
    <w:p w:rsidR="00C80F31" w:rsidRPr="00C80F31" w:rsidRDefault="00C80F31" w:rsidP="00C80F31">
      <w:pPr>
        <w:rPr>
          <w:rFonts w:ascii="Arial Narrow" w:hAnsi="Arial Narrow" w:cs="Arial"/>
          <w:sz w:val="22"/>
          <w:szCs w:val="22"/>
        </w:rPr>
      </w:pPr>
    </w:p>
    <w:p w:rsidR="008E2A08" w:rsidRPr="00C80F31" w:rsidRDefault="00030B4B" w:rsidP="00C80F31">
      <w:pPr>
        <w:rPr>
          <w:rFonts w:ascii="Arial Narrow" w:hAnsi="Arial Narrow" w:cs="Arial"/>
          <w:sz w:val="22"/>
          <w:szCs w:val="22"/>
        </w:rPr>
      </w:pPr>
    </w:p>
    <w:sectPr w:rsidR="008E2A08" w:rsidRPr="00C80F31" w:rsidSect="005C704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B4B" w:rsidRDefault="00030B4B" w:rsidP="00C80F31">
      <w:r>
        <w:separator/>
      </w:r>
    </w:p>
  </w:endnote>
  <w:endnote w:type="continuationSeparator" w:id="0">
    <w:p w:rsidR="00030B4B" w:rsidRDefault="00030B4B" w:rsidP="00C80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B4B" w:rsidRDefault="00030B4B" w:rsidP="00C80F31">
      <w:r>
        <w:separator/>
      </w:r>
    </w:p>
  </w:footnote>
  <w:footnote w:type="continuationSeparator" w:id="0">
    <w:p w:rsidR="00030B4B" w:rsidRDefault="00030B4B" w:rsidP="00C80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F31" w:rsidRDefault="00C80F31">
    <w:pPr>
      <w:pStyle w:val="Header"/>
    </w:pPr>
  </w:p>
  <w:p w:rsidR="00C80F31" w:rsidRDefault="00C80F31" w:rsidP="00C80F31">
    <w:pPr>
      <w:pStyle w:val="Header"/>
      <w:tabs>
        <w:tab w:val="left" w:pos="810"/>
      </w:tabs>
      <w:jc w:val="center"/>
      <w:rPr>
        <w:rFonts w:ascii="Britannic Bold" w:hAnsi="Britannic Bold"/>
        <w:sz w:val="32"/>
        <w:szCs w:val="32"/>
      </w:rPr>
    </w:pPr>
    <w:r w:rsidRPr="00C80F31">
      <w:rPr>
        <w:rFonts w:ascii="Britannic Bold" w:hAnsi="Britannic Bold"/>
        <w:noProof/>
        <w:sz w:val="32"/>
        <w:szCs w:val="32"/>
      </w:rPr>
      <w:drawing>
        <wp:inline distT="0" distB="0" distL="0" distR="0">
          <wp:extent cx="673052" cy="704850"/>
          <wp:effectExtent l="19050" t="0" r="0" b="0"/>
          <wp:docPr id="5" name="Picture 0" descr="stinger+hornet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er+hornet2-0.jpg"/>
                  <pic:cNvPicPr/>
                </pic:nvPicPr>
                <pic:blipFill>
                  <a:blip r:embed="rId1"/>
                  <a:stretch>
                    <a:fillRect/>
                  </a:stretch>
                </pic:blipFill>
                <pic:spPr>
                  <a:xfrm>
                    <a:off x="0" y="0"/>
                    <a:ext cx="673052" cy="704850"/>
                  </a:xfrm>
                  <a:prstGeom prst="rect">
                    <a:avLst/>
                  </a:prstGeom>
                </pic:spPr>
              </pic:pic>
            </a:graphicData>
          </a:graphic>
        </wp:inline>
      </w:drawing>
    </w:r>
    <w:r>
      <w:rPr>
        <w:rFonts w:ascii="Britannic Bold" w:hAnsi="Britannic Bold"/>
        <w:sz w:val="32"/>
        <w:szCs w:val="32"/>
      </w:rPr>
      <w:t>Hiram High School</w:t>
    </w:r>
  </w:p>
  <w:p w:rsidR="00C80F31" w:rsidRPr="000F3C0E" w:rsidRDefault="00C80F31" w:rsidP="00C80F31">
    <w:pPr>
      <w:pStyle w:val="Header"/>
      <w:tabs>
        <w:tab w:val="left" w:pos="810"/>
      </w:tabs>
      <w:jc w:val="center"/>
      <w:rPr>
        <w:rFonts w:ascii="Britannic Bold" w:hAnsi="Britannic Bold"/>
        <w:sz w:val="22"/>
        <w:szCs w:val="22"/>
      </w:rPr>
    </w:pPr>
    <w:r>
      <w:rPr>
        <w:rFonts w:ascii="Britannic Bold" w:hAnsi="Britannic Bold"/>
        <w:sz w:val="22"/>
        <w:szCs w:val="22"/>
      </w:rPr>
      <w:t xml:space="preserve">702 Virgie </w:t>
    </w:r>
    <w:proofErr w:type="spellStart"/>
    <w:r>
      <w:rPr>
        <w:rFonts w:ascii="Britannic Bold" w:hAnsi="Britannic Bold"/>
        <w:sz w:val="22"/>
        <w:szCs w:val="22"/>
      </w:rPr>
      <w:t>Ballentine</w:t>
    </w:r>
    <w:proofErr w:type="spellEnd"/>
    <w:r>
      <w:rPr>
        <w:rFonts w:ascii="Britannic Bold" w:hAnsi="Britannic Bold"/>
        <w:sz w:val="22"/>
        <w:szCs w:val="22"/>
      </w:rPr>
      <w:t xml:space="preserve"> Drive </w:t>
    </w:r>
  </w:p>
  <w:p w:rsidR="00C80F31" w:rsidRPr="000F3C0E" w:rsidRDefault="00C80F31" w:rsidP="00C80F31">
    <w:pPr>
      <w:pStyle w:val="Header"/>
      <w:tabs>
        <w:tab w:val="left" w:pos="810"/>
      </w:tabs>
      <w:jc w:val="center"/>
      <w:rPr>
        <w:rFonts w:ascii="Britannic Bold" w:hAnsi="Britannic Bold"/>
        <w:sz w:val="22"/>
        <w:szCs w:val="22"/>
      </w:rPr>
    </w:pPr>
    <w:r>
      <w:rPr>
        <w:rFonts w:ascii="Britannic Bold" w:hAnsi="Britannic Bold"/>
        <w:sz w:val="22"/>
        <w:szCs w:val="22"/>
      </w:rPr>
      <w:t>Hiram GA, 30141</w:t>
    </w:r>
  </w:p>
  <w:p w:rsidR="00C80F31" w:rsidRDefault="00C80F31" w:rsidP="00C80F31">
    <w:pPr>
      <w:pStyle w:val="Header"/>
      <w:tabs>
        <w:tab w:val="left" w:pos="810"/>
      </w:tabs>
      <w:jc w:val="center"/>
      <w:rPr>
        <w:rFonts w:ascii="Britannic Bold" w:hAnsi="Britannic Bold"/>
        <w:sz w:val="22"/>
        <w:szCs w:val="22"/>
      </w:rPr>
    </w:pPr>
    <w:r>
      <w:rPr>
        <w:rFonts w:ascii="Britannic Bold" w:hAnsi="Britannic Bold"/>
        <w:sz w:val="22"/>
        <w:szCs w:val="22"/>
      </w:rPr>
      <w:t>770.443.1182</w:t>
    </w:r>
  </w:p>
  <w:p w:rsidR="00C80F31" w:rsidRPr="002146C3" w:rsidRDefault="00C80F31" w:rsidP="00C80F31">
    <w:pPr>
      <w:pStyle w:val="Header"/>
      <w:tabs>
        <w:tab w:val="left" w:pos="810"/>
      </w:tabs>
      <w:jc w:val="center"/>
      <w:rPr>
        <w:rFonts w:ascii="Britannic Bold" w:hAnsi="Britannic Bold"/>
        <w:i/>
        <w:sz w:val="32"/>
        <w:szCs w:val="32"/>
      </w:rPr>
    </w:pPr>
    <w:r w:rsidRPr="002146C3">
      <w:rPr>
        <w:rFonts w:ascii="Britannic Bold" w:hAnsi="Britannic Bold"/>
        <w:i/>
        <w:sz w:val="22"/>
        <w:szCs w:val="22"/>
      </w:rPr>
      <w:t>“We have and will continue to make a difference”</w:t>
    </w:r>
  </w:p>
  <w:p w:rsidR="00C80F31" w:rsidRDefault="00C80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1E01"/>
    <w:multiLevelType w:val="hybridMultilevel"/>
    <w:tmpl w:val="16F2C9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A645345"/>
    <w:multiLevelType w:val="hybridMultilevel"/>
    <w:tmpl w:val="8C2AA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F31"/>
    <w:rsid w:val="00004302"/>
    <w:rsid w:val="00013B40"/>
    <w:rsid w:val="00030B4B"/>
    <w:rsid w:val="000E7B12"/>
    <w:rsid w:val="0019476F"/>
    <w:rsid w:val="002775B1"/>
    <w:rsid w:val="002E372F"/>
    <w:rsid w:val="00354C14"/>
    <w:rsid w:val="003C38DE"/>
    <w:rsid w:val="004105C3"/>
    <w:rsid w:val="00433901"/>
    <w:rsid w:val="00510138"/>
    <w:rsid w:val="005711C3"/>
    <w:rsid w:val="005C7049"/>
    <w:rsid w:val="006101CC"/>
    <w:rsid w:val="00617CD2"/>
    <w:rsid w:val="006A3945"/>
    <w:rsid w:val="006F6DB8"/>
    <w:rsid w:val="007259B7"/>
    <w:rsid w:val="007341DA"/>
    <w:rsid w:val="007646E5"/>
    <w:rsid w:val="0077441F"/>
    <w:rsid w:val="00904588"/>
    <w:rsid w:val="00912FFE"/>
    <w:rsid w:val="009731EA"/>
    <w:rsid w:val="009B5108"/>
    <w:rsid w:val="00B5548F"/>
    <w:rsid w:val="00B918CD"/>
    <w:rsid w:val="00C80F31"/>
    <w:rsid w:val="00D608E2"/>
    <w:rsid w:val="00D84492"/>
    <w:rsid w:val="00D92BA6"/>
    <w:rsid w:val="00DA4FE6"/>
    <w:rsid w:val="00E34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B2413"/>
  <w15:docId w15:val="{37E0EA65-E30A-4FD4-BBA4-E04CB7C4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0F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0F31"/>
    <w:pPr>
      <w:spacing w:before="100" w:beforeAutospacing="1" w:after="100" w:afterAutospacing="1"/>
    </w:pPr>
  </w:style>
  <w:style w:type="paragraph" w:customStyle="1" w:styleId="Default">
    <w:name w:val="Default"/>
    <w:rsid w:val="00C80F31"/>
    <w:pPr>
      <w:autoSpaceDE w:val="0"/>
      <w:autoSpaceDN w:val="0"/>
      <w:adjustRightInd w:val="0"/>
      <w:spacing w:after="0" w:line="240" w:lineRule="auto"/>
    </w:pPr>
    <w:rPr>
      <w:rFonts w:ascii="Calibri" w:eastAsia="Times New Roman" w:hAnsi="Calibri" w:cs="Calibri"/>
      <w:color w:val="000000"/>
      <w:sz w:val="24"/>
      <w:szCs w:val="24"/>
    </w:rPr>
  </w:style>
  <w:style w:type="paragraph" w:styleId="Header">
    <w:name w:val="header"/>
    <w:basedOn w:val="Normal"/>
    <w:link w:val="HeaderChar"/>
    <w:unhideWhenUsed/>
    <w:rsid w:val="00C80F31"/>
    <w:pPr>
      <w:tabs>
        <w:tab w:val="center" w:pos="4680"/>
        <w:tab w:val="right" w:pos="9360"/>
      </w:tabs>
    </w:pPr>
  </w:style>
  <w:style w:type="character" w:customStyle="1" w:styleId="HeaderChar">
    <w:name w:val="Header Char"/>
    <w:basedOn w:val="DefaultParagraphFont"/>
    <w:link w:val="Header"/>
    <w:uiPriority w:val="99"/>
    <w:rsid w:val="00C80F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0F31"/>
    <w:pPr>
      <w:tabs>
        <w:tab w:val="center" w:pos="4680"/>
        <w:tab w:val="right" w:pos="9360"/>
      </w:tabs>
    </w:pPr>
  </w:style>
  <w:style w:type="character" w:customStyle="1" w:styleId="FooterChar">
    <w:name w:val="Footer Char"/>
    <w:basedOn w:val="DefaultParagraphFont"/>
    <w:link w:val="Footer"/>
    <w:uiPriority w:val="99"/>
    <w:rsid w:val="00C80F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0F31"/>
    <w:rPr>
      <w:rFonts w:ascii="Tahoma" w:hAnsi="Tahoma" w:cs="Tahoma"/>
      <w:sz w:val="16"/>
      <w:szCs w:val="16"/>
    </w:rPr>
  </w:style>
  <w:style w:type="character" w:customStyle="1" w:styleId="BalloonTextChar">
    <w:name w:val="Balloon Text Char"/>
    <w:basedOn w:val="DefaultParagraphFont"/>
    <w:link w:val="BalloonText"/>
    <w:uiPriority w:val="99"/>
    <w:semiHidden/>
    <w:rsid w:val="00C80F31"/>
    <w:rPr>
      <w:rFonts w:ascii="Tahoma" w:eastAsia="Times New Roman" w:hAnsi="Tahoma" w:cs="Tahoma"/>
      <w:sz w:val="16"/>
      <w:szCs w:val="16"/>
    </w:rPr>
  </w:style>
  <w:style w:type="character" w:styleId="Hyperlink">
    <w:name w:val="Hyperlink"/>
    <w:basedOn w:val="DefaultParagraphFont"/>
    <w:uiPriority w:val="99"/>
    <w:unhideWhenUsed/>
    <w:rsid w:val="003C38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rbsimpson</dc:creator>
  <cp:keywords/>
  <dc:description/>
  <cp:lastModifiedBy>Heather L. Fenske</cp:lastModifiedBy>
  <cp:revision>3</cp:revision>
  <cp:lastPrinted>2016-07-26T13:57:00Z</cp:lastPrinted>
  <dcterms:created xsi:type="dcterms:W3CDTF">2016-07-26T18:11:00Z</dcterms:created>
  <dcterms:modified xsi:type="dcterms:W3CDTF">2016-07-26T18:13:00Z</dcterms:modified>
</cp:coreProperties>
</file>